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05CC9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2"/>
          <w:sz w:val="44"/>
          <w:szCs w:val="44"/>
          <w:highlight w:val="none"/>
          <w:lang w:val="en-US" w:eastAsia="zh-CN"/>
        </w:rPr>
      </w:pPr>
    </w:p>
    <w:p w14:paraId="626BAE2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2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4"/>
          <w:szCs w:val="44"/>
          <w:highlight w:val="none"/>
          <w:lang w:val="en-US" w:eastAsia="zh-CN"/>
        </w:rPr>
        <w:t>大熊猫国家公园阿坝管理分局保护</w:t>
      </w:r>
    </w:p>
    <w:p w14:paraId="14551E9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2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4"/>
          <w:szCs w:val="44"/>
          <w:highlight w:val="none"/>
          <w:lang w:val="en-US" w:eastAsia="zh-CN"/>
        </w:rPr>
        <w:t>保障工作经费专项预算项目绩效评价报告</w:t>
      </w:r>
    </w:p>
    <w:p w14:paraId="4D0D6F1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  <w:highlight w:val="none"/>
        </w:rPr>
      </w:pPr>
    </w:p>
    <w:p w14:paraId="65AF6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ascii="黑体" w:hAnsi="宋体" w:eastAsia="黑体"/>
          <w:highlight w:val="none"/>
          <w:lang w:val="zh-CN"/>
        </w:rPr>
      </w:pPr>
      <w:r>
        <w:rPr>
          <w:rFonts w:hint="eastAsia" w:ascii="黑体" w:hAnsi="宋体" w:eastAsia="黑体"/>
          <w:highlight w:val="none"/>
        </w:rPr>
        <w:t>一、</w:t>
      </w:r>
      <w:r>
        <w:rPr>
          <w:rFonts w:hint="eastAsia" w:ascii="黑体" w:hAnsi="宋体" w:eastAsia="黑体"/>
          <w:highlight w:val="none"/>
          <w:lang w:val="zh-CN"/>
        </w:rPr>
        <w:t>项目概况</w:t>
      </w:r>
    </w:p>
    <w:p w14:paraId="528FE15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contextualSpacing/>
        <w:jc w:val="left"/>
        <w:textAlignment w:val="auto"/>
        <w:rPr>
          <w:rFonts w:hint="default"/>
          <w:lang w:val="en-US"/>
        </w:rPr>
      </w:pPr>
      <w:r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  <w:t>（一）设立背景及基本情况。</w:t>
      </w:r>
      <w:r>
        <w:rPr>
          <w:rFonts w:hint="eastAsia" w:ascii="Times New Roman" w:hAnsi="Times New Roman" w:eastAsia="仿宋_GB2312" w:cs="Times New Roman"/>
          <w:b w:val="0"/>
          <w:bCs/>
          <w:color w:val="000000"/>
          <w:sz w:val="32"/>
          <w:szCs w:val="32"/>
          <w:lang w:val="en-US" w:eastAsia="zh-CN" w:bidi="ar-SA"/>
        </w:rPr>
        <w:t>为保障日常工作运转</w:t>
      </w:r>
      <w:r>
        <w:rPr>
          <w:rFonts w:hint="eastAsia" w:ascii="Times New Roman" w:hAnsi="Times New Roman" w:eastAsia="仿宋_GB2312" w:cs="Times New Roman"/>
          <w:b w:val="0"/>
          <w:bCs/>
          <w:color w:val="000000"/>
          <w:sz w:val="32"/>
          <w:szCs w:val="32"/>
          <w:lang w:eastAsia="zh-CN" w:bidi="ar-SA"/>
        </w:rPr>
        <w:t>，</w:t>
      </w:r>
      <w:r>
        <w:rPr>
          <w:rFonts w:hint="eastAsia" w:cs="Times New Roman"/>
          <w:b w:val="0"/>
          <w:bCs/>
          <w:color w:val="000000"/>
          <w:sz w:val="32"/>
          <w:szCs w:val="32"/>
          <w:lang w:val="en-US" w:eastAsia="zh-CN" w:bidi="ar-SA"/>
        </w:rPr>
        <w:t>督导指导</w:t>
      </w:r>
      <w:r>
        <w:rPr>
          <w:rFonts w:hint="eastAsia" w:ascii="Times New Roman" w:hAnsi="Times New Roman" w:eastAsia="仿宋_GB2312" w:cs="Times New Roman"/>
          <w:b w:val="0"/>
          <w:bCs/>
          <w:color w:val="000000"/>
          <w:sz w:val="32"/>
          <w:szCs w:val="32"/>
          <w:lang w:val="en-US" w:eastAsia="zh-CN" w:bidi="ar-SA"/>
        </w:rPr>
        <w:t>保护区域内基础设施建设，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191919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提升生态保护力度，实现高质量发展、高水平保护。根据2023年度工作需要设立该项目，预算资金50万元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caps w:val="0"/>
          <w:color w:val="191919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项目主要内容为保护保障方面的资金支出。</w:t>
      </w:r>
    </w:p>
    <w:p w14:paraId="379384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textAlignment w:val="auto"/>
        <w:rPr>
          <w:rFonts w:hint="default" w:ascii="楷体_GB2312" w:hAnsi="宋体" w:eastAsia="楷体_GB2312"/>
          <w:b/>
          <w:color w:val="000000" w:themeColor="text1"/>
          <w:sz w:val="32"/>
          <w:szCs w:val="32"/>
          <w:highlight w:val="none"/>
          <w:u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  <w:t>（</w:t>
      </w: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二）</w:t>
      </w:r>
      <w:r>
        <w:rPr>
          <w:rFonts w:hint="default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实施目的及支持方向</w:t>
      </w: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。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为阿坝园区野生动、植物保护，森林草原防灭火工作、项目建设督导指导方面提供资金保障，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从而提升阿坝园区保护力度，主要列支于单位公用经费资金缺口的办公费、差旅费、电费、印刷费、专用材料费、委托业务费、会议费、其他交通费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13A3220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contextualSpacing/>
        <w:jc w:val="left"/>
        <w:textAlignment w:val="auto"/>
        <w:rPr>
          <w:rFonts w:hint="eastAsia" w:ascii="仿宋_GB2312" w:hAns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</w:pP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（三）</w:t>
      </w:r>
      <w:r>
        <w:rPr>
          <w:rFonts w:hint="default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预算安排及分配管理</w:t>
      </w: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保护保障工作经费</w:t>
      </w:r>
      <w:r>
        <w:rPr>
          <w:rFonts w:hint="eastAsia" w:eastAsia="仿宋_GB2312"/>
          <w:sz w:val="32"/>
          <w:szCs w:val="32"/>
        </w:rPr>
        <w:t>属于特定目标类的部门项目，</w:t>
      </w:r>
      <w:r>
        <w:rPr>
          <w:rFonts w:hint="eastAsia" w:eastAsia="仿宋_GB2312"/>
          <w:sz w:val="32"/>
          <w:szCs w:val="32"/>
          <w:lang w:val="en-US" w:eastAsia="zh-CN"/>
        </w:rPr>
        <w:t>结合分局</w:t>
      </w:r>
      <w:r>
        <w:rPr>
          <w:rFonts w:hint="eastAsia"/>
          <w:sz w:val="32"/>
          <w:szCs w:val="32"/>
          <w:lang w:val="en-US" w:eastAsia="zh-CN"/>
        </w:rPr>
        <w:t>工作实际，</w:t>
      </w:r>
      <w:r>
        <w:rPr>
          <w:rFonts w:hint="eastAsia" w:eastAsia="仿宋_GB2312"/>
          <w:sz w:val="32"/>
          <w:szCs w:val="32"/>
          <w:lang w:val="en-US" w:eastAsia="zh-CN"/>
        </w:rPr>
        <w:t>本预算通过2022年度工作开展情况</w:t>
      </w:r>
      <w:r>
        <w:rPr>
          <w:rFonts w:hint="eastAsia"/>
          <w:sz w:val="32"/>
          <w:szCs w:val="32"/>
          <w:lang w:val="en-US" w:eastAsia="zh-CN"/>
        </w:rPr>
        <w:t>来核定</w:t>
      </w:r>
      <w:r>
        <w:rPr>
          <w:rFonts w:hint="eastAsia" w:eastAsia="仿宋_GB2312"/>
          <w:sz w:val="32"/>
          <w:szCs w:val="32"/>
          <w:lang w:val="en-US" w:eastAsia="zh-CN"/>
        </w:rPr>
        <w:t>202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  <w:lang w:val="en-US" w:eastAsia="zh-CN"/>
        </w:rPr>
        <w:t>年</w:t>
      </w:r>
      <w:r>
        <w:rPr>
          <w:rFonts w:hint="eastAsia"/>
          <w:sz w:val="32"/>
          <w:szCs w:val="32"/>
          <w:lang w:val="en-US" w:eastAsia="zh-CN"/>
        </w:rPr>
        <w:t>保护保障工作经费</w:t>
      </w:r>
      <w:r>
        <w:rPr>
          <w:rFonts w:hint="eastAsia" w:eastAsia="仿宋_GB2312"/>
          <w:sz w:val="32"/>
          <w:szCs w:val="32"/>
          <w:lang w:val="en-US" w:eastAsia="zh-CN"/>
        </w:rPr>
        <w:t>预算</w:t>
      </w:r>
      <w:r>
        <w:rPr>
          <w:rFonts w:hint="eastAsia"/>
          <w:sz w:val="32"/>
          <w:szCs w:val="32"/>
          <w:lang w:val="en-US" w:eastAsia="zh-CN"/>
        </w:rPr>
        <w:t>数</w:t>
      </w:r>
      <w:r>
        <w:rPr>
          <w:rFonts w:hint="eastAsia" w:eastAsia="仿宋_GB2312"/>
          <w:sz w:val="32"/>
          <w:szCs w:val="32"/>
          <w:lang w:val="en-US" w:eastAsia="zh-CN"/>
        </w:rPr>
        <w:t>为</w:t>
      </w:r>
      <w:r>
        <w:rPr>
          <w:rFonts w:hint="eastAsia"/>
          <w:sz w:val="32"/>
          <w:szCs w:val="32"/>
          <w:lang w:val="en-US" w:eastAsia="zh-CN"/>
        </w:rPr>
        <w:t>50</w:t>
      </w:r>
      <w:r>
        <w:rPr>
          <w:rFonts w:hint="eastAsia" w:eastAsia="仿宋_GB2312"/>
          <w:sz w:val="32"/>
          <w:szCs w:val="32"/>
          <w:lang w:val="en-US" w:eastAsia="zh-CN"/>
        </w:rPr>
        <w:t>万元。</w:t>
      </w:r>
    </w:p>
    <w:p w14:paraId="00C1D3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textAlignment w:val="auto"/>
        <w:rPr>
          <w:rFonts w:hint="eastAsia" w:ascii="仿宋_GB2312" w:hAns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</w:pP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（四）项目绩效目标设置。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项目整体、区域和具体绩效目标设置情况，项目自评工作开展情况。</w:t>
      </w:r>
    </w:p>
    <w:p w14:paraId="43808F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0" w:firstLineChars="20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本项目共设置了一级指标4个、二级指标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  <w:lang w:val="en-US" w:eastAsia="zh-CN"/>
        </w:rPr>
        <w:t>个、三级指标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  <w:lang w:val="en-US" w:eastAsia="zh-CN"/>
        </w:rPr>
        <w:t>个绩效考核目标，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评估内容包括绩效目标和绩效指标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可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量化可考核，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与项目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相匹配，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能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全面完整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对项目进行评价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与分局</w:t>
      </w:r>
      <w:r>
        <w:rPr>
          <w:rFonts w:hint="eastAsia" w:ascii="仿宋_GB2312" w:hAnsi="宋体"/>
          <w:sz w:val="32"/>
          <w:szCs w:val="32"/>
          <w:lang w:val="en-US" w:eastAsia="zh-CN"/>
        </w:rPr>
        <w:t>工作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目标、年度工作目标相一致。</w:t>
      </w:r>
    </w:p>
    <w:p w14:paraId="0E8AC0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0" w:firstLineChars="200"/>
        <w:textAlignment w:val="auto"/>
        <w:rPr>
          <w:rFonts w:hint="eastAsia" w:ascii="黑体" w:hAnsi="宋体" w:eastAsia="黑体"/>
          <w:highlight w:val="none"/>
          <w:lang w:eastAsia="zh-CN"/>
        </w:rPr>
      </w:pPr>
      <w:r>
        <w:rPr>
          <w:rFonts w:hint="eastAsia" w:ascii="黑体" w:hAnsi="宋体" w:eastAsia="黑体"/>
          <w:highlight w:val="none"/>
        </w:rPr>
        <w:t>二、</w:t>
      </w:r>
      <w:r>
        <w:rPr>
          <w:rFonts w:hint="eastAsia" w:ascii="黑体" w:hAnsi="宋体" w:eastAsia="黑体"/>
          <w:highlight w:val="none"/>
          <w:lang w:eastAsia="zh-CN"/>
        </w:rPr>
        <w:t>评价实施</w:t>
      </w:r>
    </w:p>
    <w:p w14:paraId="64CEA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firstLine="640"/>
        <w:textAlignment w:val="auto"/>
        <w:outlineLvl w:val="9"/>
        <w:rPr>
          <w:rFonts w:eastAsia="仿宋_GB2312" w:cs="Times New Roman"/>
          <w:szCs w:val="32"/>
        </w:rPr>
      </w:pPr>
      <w:r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  <w:t>（一）评价目的。</w:t>
      </w:r>
      <w:r>
        <w:rPr>
          <w:rFonts w:eastAsia="仿宋_GB2312" w:cs="Times New Roman"/>
          <w:szCs w:val="32"/>
        </w:rPr>
        <w:t>通过</w:t>
      </w:r>
      <w:r>
        <w:rPr>
          <w:rFonts w:hint="eastAsia" w:cs="Times New Roman"/>
          <w:szCs w:val="32"/>
          <w:lang w:eastAsia="zh-CN"/>
        </w:rPr>
        <w:t>项目</w:t>
      </w:r>
      <w:r>
        <w:rPr>
          <w:rFonts w:hint="eastAsia" w:eastAsia="仿宋_GB2312" w:cs="Times New Roman"/>
          <w:szCs w:val="32"/>
        </w:rPr>
        <w:t>绩效</w:t>
      </w:r>
      <w:r>
        <w:rPr>
          <w:rFonts w:hint="eastAsia" w:cs="Times New Roman"/>
          <w:szCs w:val="32"/>
          <w:lang w:eastAsia="zh-CN"/>
        </w:rPr>
        <w:t>自评，</w:t>
      </w:r>
      <w:r>
        <w:rPr>
          <w:rFonts w:hint="eastAsia" w:cs="Times New Roman"/>
          <w:szCs w:val="32"/>
          <w:lang w:val="en-US" w:eastAsia="zh-CN"/>
        </w:rPr>
        <w:t>提高资金的使用效率</w:t>
      </w:r>
      <w:r>
        <w:rPr>
          <w:rFonts w:hint="eastAsia" w:cs="Times New Roman"/>
          <w:szCs w:val="32"/>
          <w:lang w:eastAsia="zh-CN"/>
        </w:rPr>
        <w:t>。</w:t>
      </w:r>
    </w:p>
    <w:p w14:paraId="215BE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textAlignment w:val="auto"/>
        <w:outlineLvl w:val="9"/>
        <w:rPr>
          <w:rFonts w:hint="eastAsia" w:cs="Times New Roman"/>
          <w:szCs w:val="32"/>
          <w:lang w:eastAsia="zh-CN"/>
        </w:rPr>
      </w:pPr>
      <w:r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  <w:t>（二）预设问题及评价重点。</w:t>
      </w:r>
      <w:r>
        <w:rPr>
          <w:rFonts w:hint="eastAsia" w:eastAsia="仿宋_GB2312" w:cs="Times New Roman"/>
          <w:szCs w:val="32"/>
        </w:rPr>
        <w:t>按照绩效评价指标体系，对资金支出使用全过程及其实施效果进行综合评价和判断</w:t>
      </w:r>
      <w:r>
        <w:rPr>
          <w:rFonts w:hint="eastAsia" w:eastAsia="仿宋_GB2312" w:cs="Times New Roman"/>
          <w:szCs w:val="32"/>
          <w:lang w:eastAsia="zh-CN"/>
        </w:rPr>
        <w:t>。</w:t>
      </w:r>
      <w:r>
        <w:rPr>
          <w:rFonts w:hint="eastAsia" w:ascii="Times New Roman" w:hAnsi="Times New Roman" w:cs="Times New Roman"/>
          <w:szCs w:val="32"/>
          <w:lang w:val="en-US" w:eastAsia="zh-CN"/>
        </w:rPr>
        <w:t>已按规定支付资金共计30.62</w:t>
      </w:r>
      <w:r>
        <w:rPr>
          <w:rFonts w:hint="eastAsia" w:cs="Times New Roman"/>
          <w:szCs w:val="32"/>
          <w:lang w:val="en-US" w:eastAsia="zh-CN"/>
        </w:rPr>
        <w:t>万</w:t>
      </w:r>
      <w:r>
        <w:rPr>
          <w:rFonts w:hint="eastAsia" w:ascii="Times New Roman" w:hAnsi="Times New Roman" w:cs="Times New Roman"/>
          <w:szCs w:val="32"/>
          <w:lang w:val="en-US" w:eastAsia="zh-CN"/>
        </w:rPr>
        <w:t>元</w:t>
      </w:r>
      <w:r>
        <w:rPr>
          <w:rFonts w:hint="eastAsia" w:cs="Times New Roman"/>
          <w:szCs w:val="32"/>
          <w:lang w:val="en-US" w:eastAsia="zh-CN"/>
        </w:rPr>
        <w:t>（分别为：</w:t>
      </w:r>
      <w:r>
        <w:rPr>
          <w:rFonts w:hint="eastAsia" w:ascii="仿宋_GB2312" w:hAnsi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办公费2.52万元、差旅费19万元、电费1.5万元、印刷费2万元、专用材料费1.09万元、委托业务费3.73万元、会议费0.44万元、其他交通费0.34万元</w:t>
      </w:r>
      <w:r>
        <w:rPr>
          <w:rFonts w:hint="eastAsia" w:cs="Times New Roman"/>
          <w:szCs w:val="32"/>
          <w:lang w:val="en-US" w:eastAsia="zh-CN"/>
        </w:rPr>
        <w:t>）</w:t>
      </w:r>
      <w:r>
        <w:rPr>
          <w:rFonts w:hint="eastAsia" w:ascii="Times New Roman" w:hAnsi="Times New Roman" w:cs="Times New Roman"/>
          <w:szCs w:val="32"/>
          <w:lang w:val="en-US" w:eastAsia="zh-CN"/>
        </w:rPr>
        <w:t>，支付进度为</w:t>
      </w:r>
      <w:r>
        <w:rPr>
          <w:rFonts w:hint="eastAsia" w:cs="Times New Roman"/>
          <w:szCs w:val="32"/>
          <w:lang w:val="en-US" w:eastAsia="zh-CN"/>
        </w:rPr>
        <w:t>61.24</w:t>
      </w:r>
      <w:r>
        <w:rPr>
          <w:rFonts w:hint="eastAsia" w:ascii="Times New Roman" w:hAnsi="Times New Roman" w:cs="Times New Roman"/>
          <w:szCs w:val="32"/>
          <w:lang w:val="en-US" w:eastAsia="zh-CN"/>
        </w:rPr>
        <w:t>%。</w:t>
      </w:r>
      <w:r>
        <w:rPr>
          <w:rFonts w:hint="eastAsia" w:cs="Times New Roman"/>
          <w:szCs w:val="32"/>
          <w:lang w:val="en-US" w:eastAsia="zh-CN"/>
        </w:rPr>
        <w:t>为了厉行节约，2023年单位所有打印机大部分耗材都在网上采购，从而减少了办公费的支出</w:t>
      </w:r>
      <w:r>
        <w:rPr>
          <w:rFonts w:hint="eastAsia" w:cs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4727C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3" w:firstLineChars="200"/>
        <w:textAlignment w:val="auto"/>
        <w:outlineLvl w:val="9"/>
        <w:rPr>
          <w:rFonts w:hint="eastAsia" w:cs="Times New Roman"/>
          <w:szCs w:val="32"/>
          <w:lang w:val="zh-CN" w:eastAsia="zh-CN"/>
        </w:rPr>
      </w:pPr>
      <w:r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  <w:t>（三）评价选点。</w:t>
      </w:r>
      <w:r>
        <w:rPr>
          <w:rFonts w:hint="eastAsia" w:cs="Times New Roman"/>
          <w:szCs w:val="32"/>
          <w:lang w:val="en-US" w:eastAsia="zh-CN"/>
        </w:rPr>
        <w:t>无</w:t>
      </w:r>
      <w:r>
        <w:rPr>
          <w:rFonts w:hint="eastAsia" w:cs="Times New Roman"/>
          <w:szCs w:val="32"/>
          <w:lang w:val="zh-CN" w:eastAsia="zh-CN"/>
        </w:rPr>
        <w:t>。</w:t>
      </w:r>
    </w:p>
    <w:p w14:paraId="460226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firstLine="640"/>
        <w:textAlignment w:val="auto"/>
        <w:outlineLvl w:val="9"/>
        <w:rPr>
          <w:rFonts w:hint="eastAsia" w:eastAsia="仿宋_GB2312" w:cs="Times New Roman"/>
          <w:szCs w:val="32"/>
          <w:lang w:eastAsia="zh-CN"/>
        </w:rPr>
      </w:pPr>
      <w:r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  <w:t>（四）评价方法。</w:t>
      </w:r>
      <w:r>
        <w:rPr>
          <w:rFonts w:eastAsia="仿宋_GB2312" w:cs="Times New Roman"/>
          <w:szCs w:val="32"/>
        </w:rPr>
        <w:t>根据项目情况</w:t>
      </w:r>
      <w:r>
        <w:rPr>
          <w:rFonts w:hint="eastAsia" w:cs="Times New Roman"/>
          <w:szCs w:val="32"/>
          <w:lang w:val="en-US" w:eastAsia="zh-CN"/>
        </w:rPr>
        <w:t>采用</w:t>
      </w:r>
      <w:r>
        <w:rPr>
          <w:rFonts w:eastAsia="仿宋_GB2312" w:cs="Times New Roman"/>
          <w:szCs w:val="32"/>
        </w:rPr>
        <w:t>单位自评法</w:t>
      </w:r>
      <w:r>
        <w:rPr>
          <w:rFonts w:hint="eastAsia" w:cs="Times New Roman"/>
          <w:szCs w:val="32"/>
          <w:lang w:eastAsia="zh-CN"/>
        </w:rPr>
        <w:t>。</w:t>
      </w:r>
    </w:p>
    <w:p w14:paraId="11E26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firstLine="640"/>
        <w:textAlignment w:val="auto"/>
        <w:outlineLvl w:val="9"/>
        <w:rPr>
          <w:rFonts w:hint="eastAsia" w:eastAsia="仿宋_GB2312" w:cs="Times New Roman"/>
          <w:bCs/>
          <w:lang w:eastAsia="zh-CN"/>
        </w:rPr>
      </w:pPr>
      <w:r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  <w:t>（五）评价组织。</w:t>
      </w:r>
      <w:r>
        <w:rPr>
          <w:rFonts w:hint="eastAsia" w:ascii="仿宋_GB2312" w:cs="仿宋_GB2312"/>
          <w:color w:val="000000"/>
          <w:lang w:bidi="ar-SA"/>
        </w:rPr>
        <w:t>根据财政绩效评价要求，由局办公室牵头，相关部室参与配合，绩效评价遵循科学规范、公正公开原则，有序推进</w:t>
      </w:r>
      <w:r>
        <w:rPr>
          <w:rFonts w:hint="eastAsia" w:ascii="仿宋_GB2312" w:cs="仿宋_GB2312"/>
          <w:color w:val="000000"/>
          <w:lang w:val="en-US" w:eastAsia="zh-CN" w:bidi="ar-SA"/>
        </w:rPr>
        <w:t>单位</w:t>
      </w:r>
      <w:r>
        <w:rPr>
          <w:rFonts w:hint="eastAsia" w:ascii="仿宋_GB2312" w:cs="仿宋_GB2312"/>
          <w:color w:val="000000"/>
          <w:lang w:bidi="ar-SA"/>
        </w:rPr>
        <w:t>项目绩效评价工作</w:t>
      </w:r>
      <w:r>
        <w:rPr>
          <w:rFonts w:hint="eastAsia" w:cs="Times New Roman"/>
          <w:szCs w:val="32"/>
          <w:lang w:eastAsia="zh-CN"/>
        </w:rPr>
        <w:t>。</w:t>
      </w:r>
    </w:p>
    <w:p w14:paraId="2656FA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ascii="仿宋_GB2312" w:hAnsi="宋体"/>
          <w:color w:val="auto"/>
          <w:sz w:val="32"/>
          <w:szCs w:val="32"/>
          <w:highlight w:val="none"/>
          <w:u w:val="none"/>
          <w:lang w:val="zh-CN"/>
        </w:rPr>
      </w:pPr>
      <w:r>
        <w:rPr>
          <w:rFonts w:hint="eastAsia" w:ascii="黑体" w:hAnsi="宋体" w:eastAsia="黑体"/>
          <w:color w:val="auto"/>
          <w:sz w:val="32"/>
          <w:szCs w:val="32"/>
          <w:highlight w:val="none"/>
          <w:u w:val="none"/>
        </w:rPr>
        <w:t>三、</w:t>
      </w:r>
      <w:r>
        <w:rPr>
          <w:rFonts w:hint="eastAsia" w:ascii="黑体" w:hAnsi="宋体" w:eastAsia="黑体"/>
          <w:color w:val="auto"/>
          <w:sz w:val="32"/>
          <w:szCs w:val="32"/>
          <w:highlight w:val="none"/>
          <w:u w:val="none"/>
          <w:lang w:eastAsia="zh-CN"/>
        </w:rPr>
        <w:t>绩效分析</w:t>
      </w:r>
      <w:r>
        <w:rPr>
          <w:rFonts w:hint="eastAsia" w:ascii="仿宋_GB2312" w:hAnsi="宋体"/>
          <w:color w:val="auto"/>
          <w:sz w:val="32"/>
          <w:szCs w:val="32"/>
          <w:highlight w:val="none"/>
          <w:u w:val="none"/>
          <w:lang w:val="zh-CN"/>
        </w:rPr>
        <w:tab/>
      </w:r>
    </w:p>
    <w:p w14:paraId="1D4BB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（一）</w:t>
      </w: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通用指标</w: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</w:p>
    <w:p w14:paraId="5242C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Cs w:val="32"/>
          <w:lang w:val="en-US" w:eastAsia="zh-CN"/>
        </w:rPr>
        <w:t>1.</w:t>
      </w:r>
      <w:r>
        <w:rPr>
          <w:rFonts w:hint="eastAsia" w:ascii="楷体_GB2312" w:hAnsi="楷体_GB2312" w:eastAsia="楷体_GB2312" w:cs="楷体_GB2312"/>
          <w:color w:val="auto"/>
          <w:szCs w:val="32"/>
          <w:lang w:eastAsia="zh-CN"/>
        </w:rPr>
        <w:t>项目决策。</w:t>
      </w:r>
      <w:r>
        <w:rPr>
          <w:rFonts w:hint="eastAsia" w:cs="Times New Roman"/>
          <w:color w:val="auto"/>
          <w:szCs w:val="32"/>
          <w:lang w:val="en-US" w:eastAsia="zh-CN"/>
        </w:rPr>
        <w:t>该项目根据单位工作需要，以及</w:t>
      </w:r>
      <w:r>
        <w:rPr>
          <w:rFonts w:hint="eastAsia" w:eastAsia="仿宋_GB2312"/>
          <w:sz w:val="32"/>
          <w:szCs w:val="32"/>
          <w:lang w:val="en-US" w:eastAsia="zh-CN"/>
        </w:rPr>
        <w:t>通过2022</w:t>
      </w:r>
      <w:r>
        <w:rPr>
          <w:rFonts w:hint="eastAsia"/>
          <w:sz w:val="32"/>
          <w:szCs w:val="32"/>
          <w:lang w:val="en-US" w:eastAsia="zh-CN"/>
        </w:rPr>
        <w:t>年度</w:t>
      </w:r>
      <w:r>
        <w:rPr>
          <w:rFonts w:hint="eastAsia" w:eastAsia="仿宋_GB2312"/>
          <w:sz w:val="32"/>
          <w:szCs w:val="32"/>
          <w:lang w:val="en-US" w:eastAsia="zh-CN"/>
        </w:rPr>
        <w:t>工作开展</w:t>
      </w:r>
      <w:r>
        <w:rPr>
          <w:rFonts w:hint="eastAsia"/>
          <w:sz w:val="32"/>
          <w:szCs w:val="32"/>
          <w:lang w:val="en-US" w:eastAsia="zh-CN"/>
        </w:rPr>
        <w:t>情况，工作实际进行项目的申报，项目通过分局党组会研究并报州财政局预算审核批准后确定实施。</w:t>
      </w:r>
    </w:p>
    <w:p w14:paraId="313FB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eastAsia" w:ascii="Times New Roman" w:hAnsi="Times New Roman" w:cs="Times New Roman"/>
          <w:color w:val="auto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szCs w:val="32"/>
          <w:lang w:val="en-US" w:eastAsia="zh-CN"/>
        </w:rPr>
        <w:t>2.</w:t>
      </w:r>
      <w:r>
        <w:rPr>
          <w:rFonts w:hint="eastAsia" w:ascii="楷体_GB2312" w:hAnsi="楷体_GB2312" w:eastAsia="楷体_GB2312" w:cs="楷体_GB2312"/>
          <w:color w:val="auto"/>
          <w:szCs w:val="32"/>
          <w:lang w:eastAsia="zh-CN"/>
        </w:rPr>
        <w:t>项目管理。</w:t>
      </w:r>
      <w:r>
        <w:rPr>
          <w:rFonts w:hint="eastAsia" w:cs="Times New Roman"/>
          <w:color w:val="auto"/>
          <w:szCs w:val="32"/>
          <w:lang w:val="en-US" w:eastAsia="zh-CN"/>
        </w:rPr>
        <w:t>本项目严格按照《大熊猫国家公园阿坝管理分局内控制度（实行）》明确的预算、政府采购、合同管理制度，组织开展项目的实施</w:t>
      </w:r>
      <w:r>
        <w:rPr>
          <w:rFonts w:hint="eastAsia" w:ascii="Times New Roman" w:hAnsi="Times New Roman" w:cs="Times New Roman"/>
          <w:color w:val="auto"/>
          <w:szCs w:val="32"/>
          <w:lang w:eastAsia="zh-CN"/>
        </w:rPr>
        <w:t>。</w:t>
      </w:r>
    </w:p>
    <w:p w14:paraId="6FDE7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default" w:ascii="Times New Roman" w:hAnsi="Times New Roman" w:cs="Times New Roman"/>
          <w:color w:val="auto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Cs w:val="32"/>
          <w:lang w:val="en-US" w:eastAsia="zh-CN"/>
        </w:rPr>
        <w:t>3.项目实施。2023年共下达</w:t>
      </w:r>
      <w:r>
        <w:rPr>
          <w:rFonts w:hint="eastAsia"/>
          <w:sz w:val="32"/>
          <w:szCs w:val="32"/>
          <w:lang w:val="en-US" w:eastAsia="zh-CN"/>
        </w:rPr>
        <w:t>保护保障工作经费</w:t>
      </w:r>
      <w:r>
        <w:rPr>
          <w:rFonts w:hint="eastAsia" w:eastAsia="仿宋_GB2312"/>
          <w:sz w:val="32"/>
          <w:szCs w:val="32"/>
          <w:lang w:val="en-US" w:eastAsia="zh-CN"/>
        </w:rPr>
        <w:t>预算</w:t>
      </w:r>
      <w:r>
        <w:rPr>
          <w:rFonts w:hint="eastAsia"/>
          <w:sz w:val="32"/>
          <w:szCs w:val="32"/>
          <w:lang w:val="en-US" w:eastAsia="zh-CN"/>
        </w:rPr>
        <w:t>数</w:t>
      </w:r>
      <w:r>
        <w:rPr>
          <w:rFonts w:hint="eastAsia" w:eastAsia="仿宋_GB2312"/>
          <w:sz w:val="32"/>
          <w:szCs w:val="32"/>
          <w:lang w:val="en-US" w:eastAsia="zh-CN"/>
        </w:rPr>
        <w:t>为</w:t>
      </w:r>
      <w:r>
        <w:rPr>
          <w:rFonts w:hint="eastAsia"/>
          <w:sz w:val="32"/>
          <w:szCs w:val="32"/>
          <w:lang w:val="en-US" w:eastAsia="zh-CN"/>
        </w:rPr>
        <w:t>50</w:t>
      </w:r>
      <w:r>
        <w:rPr>
          <w:rFonts w:hint="eastAsia" w:eastAsia="仿宋_GB2312"/>
          <w:sz w:val="32"/>
          <w:szCs w:val="32"/>
          <w:lang w:val="en-US" w:eastAsia="zh-CN"/>
        </w:rPr>
        <w:t>万元。</w:t>
      </w:r>
      <w:r>
        <w:rPr>
          <w:rFonts w:hint="eastAsia"/>
          <w:sz w:val="32"/>
          <w:szCs w:val="32"/>
          <w:lang w:val="en-US" w:eastAsia="zh-CN"/>
        </w:rPr>
        <w:t>全年实际支付</w:t>
      </w:r>
      <w:r>
        <w:rPr>
          <w:rFonts w:hint="eastAsia" w:cs="Times New Roman"/>
          <w:szCs w:val="32"/>
          <w:lang w:val="en-US" w:eastAsia="zh-CN"/>
        </w:rPr>
        <w:t>30.62万</w:t>
      </w:r>
      <w:r>
        <w:rPr>
          <w:rFonts w:hint="eastAsia" w:ascii="Times New Roman" w:hAnsi="Times New Roman" w:cs="Times New Roman"/>
          <w:szCs w:val="32"/>
          <w:lang w:val="en-US" w:eastAsia="zh-CN"/>
        </w:rPr>
        <w:t>元，支付比例达预算的</w:t>
      </w:r>
      <w:r>
        <w:rPr>
          <w:rFonts w:hint="eastAsia" w:cs="Times New Roman"/>
          <w:szCs w:val="32"/>
          <w:lang w:val="en-US" w:eastAsia="zh-CN"/>
        </w:rPr>
        <w:t>61.24</w:t>
      </w:r>
      <w:r>
        <w:rPr>
          <w:rFonts w:hint="eastAsia" w:ascii="Times New Roman" w:hAnsi="Times New Roman" w:cs="Times New Roman"/>
          <w:szCs w:val="32"/>
          <w:lang w:val="en-US" w:eastAsia="zh-CN"/>
        </w:rPr>
        <w:t>%。</w:t>
      </w:r>
      <w:r>
        <w:rPr>
          <w:rFonts w:hint="eastAsia" w:cs="Times New Roman"/>
          <w:szCs w:val="32"/>
          <w:lang w:val="en-US" w:eastAsia="zh-CN"/>
        </w:rPr>
        <w:t>为了厉行节约，2023年单位所有打印机大部分耗材都在网上采购，从而减少了办公费的支出</w:t>
      </w:r>
      <w:r>
        <w:rPr>
          <w:rFonts w:hint="eastAsia" w:ascii="Times New Roman" w:hAnsi="Times New Roman" w:cs="Times New Roman"/>
          <w:szCs w:val="32"/>
          <w:lang w:val="en-US" w:eastAsia="zh-CN"/>
        </w:rPr>
        <w:t>。</w:t>
      </w:r>
    </w:p>
    <w:p w14:paraId="45343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default" w:ascii="Times New Roman" w:hAnsi="Times New Roman" w:cs="Times New Roman"/>
          <w:color w:val="auto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Cs w:val="32"/>
          <w:lang w:val="en-US" w:eastAsia="zh-CN"/>
        </w:rPr>
        <w:t>4.项目结果。</w:t>
      </w:r>
      <w:r>
        <w:rPr>
          <w:rFonts w:hint="eastAsia" w:eastAsia="仿宋_GB2312"/>
          <w:sz w:val="32"/>
          <w:szCs w:val="32"/>
          <w:lang w:val="en-US" w:eastAsia="zh-CN"/>
        </w:rPr>
        <w:t>设置了一级指标4个、二级指标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  <w:lang w:val="en-US" w:eastAsia="zh-CN"/>
        </w:rPr>
        <w:t>个、三级指标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  <w:lang w:val="en-US" w:eastAsia="zh-CN"/>
        </w:rPr>
        <w:t>个绩效考核目标，</w:t>
      </w:r>
      <w:r>
        <w:rPr>
          <w:rFonts w:hint="eastAsia"/>
          <w:sz w:val="32"/>
          <w:szCs w:val="32"/>
          <w:lang w:val="en-US" w:eastAsia="zh-CN"/>
        </w:rPr>
        <w:t>只有成本指标未完成支付比例，其余指标全部按时完成。</w:t>
      </w:r>
    </w:p>
    <w:p w14:paraId="0BA29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643" w:firstLineChars="200"/>
        <w:textAlignment w:val="auto"/>
        <w:outlineLvl w:val="9"/>
        <w:rPr>
          <w:rFonts w:hint="eastAsia" w:ascii="Times New Roman" w:hAnsi="Times New Roman" w:cs="Times New Roman"/>
          <w:color w:val="auto"/>
          <w:szCs w:val="32"/>
          <w:lang w:val="zh-CN" w:eastAsia="zh-CN"/>
        </w:rPr>
      </w:pP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（二）</w:t>
      </w: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专用指标</w: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  <w:r>
        <w:rPr>
          <w:rFonts w:hint="eastAsia" w:ascii="Times New Roman" w:hAnsi="Times New Roman" w:cs="Times New Roman"/>
          <w:color w:val="auto"/>
          <w:szCs w:val="32"/>
          <w:lang w:val="zh-CN" w:eastAsia="zh-CN"/>
        </w:rPr>
        <w:t>根据</w:t>
      </w: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专项预算项目</w:t>
      </w:r>
      <w:r>
        <w:rPr>
          <w:rFonts w:hint="eastAsia" w:cs="Times New Roman"/>
          <w:color w:val="auto"/>
          <w:szCs w:val="32"/>
          <w:lang w:val="en-US" w:eastAsia="zh-CN"/>
        </w:rPr>
        <w:t>资金支持对象</w:t>
      </w:r>
      <w:r>
        <w:rPr>
          <w:rFonts w:hint="eastAsia" w:ascii="Times New Roman" w:hAnsi="Times New Roman" w:cs="Times New Roman"/>
          <w:color w:val="auto"/>
          <w:szCs w:val="32"/>
          <w:lang w:val="en-US" w:eastAsia="zh-CN"/>
        </w:rPr>
        <w:t>选择所属指标进行绩效分析。</w:t>
      </w:r>
      <w:r>
        <w:rPr>
          <w:rFonts w:hint="eastAsia" w:cs="Times New Roman"/>
          <w:color w:val="auto"/>
          <w:szCs w:val="32"/>
          <w:lang w:val="en-US" w:eastAsia="zh-CN"/>
        </w:rPr>
        <w:t>支持对象</w:t>
      </w:r>
      <w:r>
        <w:rPr>
          <w:rFonts w:hint="eastAsia" w:ascii="Times New Roman" w:hAnsi="Times New Roman" w:cs="Times New Roman"/>
          <w:color w:val="auto"/>
          <w:szCs w:val="32"/>
          <w:lang w:val="zh-CN" w:eastAsia="zh-CN"/>
        </w:rPr>
        <w:t>包括产业发展、民生保障、基础设施、行政运转等方面。</w:t>
      </w:r>
    </w:p>
    <w:p w14:paraId="669C7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640" w:firstLineChars="200"/>
        <w:textAlignment w:val="auto"/>
        <w:outlineLvl w:val="9"/>
        <w:rPr>
          <w:rFonts w:hint="default" w:cs="Times New Roman"/>
          <w:color w:val="auto"/>
          <w:szCs w:val="32"/>
          <w:lang w:val="en-US" w:eastAsia="zh-CN"/>
        </w:rPr>
      </w:pPr>
      <w:r>
        <w:rPr>
          <w:rFonts w:hint="eastAsia" w:cs="Times New Roman"/>
          <w:color w:val="auto"/>
          <w:szCs w:val="32"/>
          <w:lang w:val="en-US" w:eastAsia="zh-CN"/>
        </w:rPr>
        <w:t>提升公众保护意识、群众满意度等指标，</w:t>
      </w:r>
      <w:r>
        <w:rPr>
          <w:rFonts w:hint="eastAsia" w:ascii="仿宋_GB2312" w:hAnsi="Times New Roman" w:eastAsia="仿宋_GB2312" w:cs="仿宋_GB2312"/>
          <w:b w:val="0"/>
          <w:bCs w:val="0"/>
          <w:caps w:val="0"/>
          <w:color w:val="auto"/>
          <w:kern w:val="2"/>
          <w:sz w:val="32"/>
          <w:szCs w:val="32"/>
          <w:vertAlign w:val="baseline"/>
          <w:lang w:val="en-US" w:eastAsia="zh-CN" w:bidi="ar"/>
        </w:rPr>
        <w:t>切实做到</w:t>
      </w:r>
      <w:r>
        <w:rPr>
          <w:rFonts w:hint="eastAsia" w:ascii="仿宋_GB2312" w:hAnsi="Times New Roman" w:cs="仿宋_GB2312"/>
          <w:b w:val="0"/>
          <w:bCs w:val="0"/>
          <w:caps w:val="0"/>
          <w:color w:val="auto"/>
          <w:kern w:val="2"/>
          <w:sz w:val="32"/>
          <w:szCs w:val="32"/>
          <w:vertAlign w:val="baseline"/>
          <w:lang w:val="en-US" w:eastAsia="zh-CN" w:bidi="ar"/>
        </w:rPr>
        <w:t>了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阿坝园区野生动、植物保护，森林草原防灭火工作、项目建设督导指导显著提升，</w:t>
      </w:r>
      <w:r>
        <w:rPr>
          <w:rFonts w:hint="eastAsia" w:cs="Times New Roman"/>
          <w:color w:val="auto"/>
          <w:szCs w:val="32"/>
          <w:lang w:val="en-US" w:eastAsia="zh-CN"/>
        </w:rPr>
        <w:t>确保单位的正常运转提供了有力保障。</w:t>
      </w:r>
    </w:p>
    <w:p w14:paraId="4535C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640" w:firstLineChars="200"/>
        <w:textAlignment w:val="auto"/>
        <w:outlineLvl w:val="9"/>
        <w:rPr>
          <w:rFonts w:hint="default" w:cs="Times New Roman"/>
          <w:color w:val="auto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Cs w:val="32"/>
          <w:lang w:val="zh-CN" w:eastAsia="zh-CN"/>
        </w:rPr>
        <w:t>行政运转</w:t>
      </w:r>
      <w:r>
        <w:rPr>
          <w:rFonts w:hint="eastAsia" w:ascii="楷体_GB2312" w:hAnsi="楷体_GB2312" w:eastAsia="楷体_GB2312" w:cs="楷体_GB2312"/>
          <w:color w:val="auto"/>
          <w:szCs w:val="32"/>
          <w:lang w:val="en-US" w:eastAsia="zh-CN"/>
        </w:rPr>
        <w:t>方面提供了有力保障</w:t>
      </w:r>
      <w:r>
        <w:rPr>
          <w:rFonts w:hint="eastAsia" w:cs="Times New Roman"/>
          <w:color w:val="auto"/>
          <w:szCs w:val="32"/>
          <w:lang w:val="en-US" w:eastAsia="zh-CN"/>
        </w:rPr>
        <w:t>，保障了单位公用经费资金的缺口。</w:t>
      </w:r>
    </w:p>
    <w:p w14:paraId="12FE9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default" w:cs="Times New Roman"/>
          <w:color w:val="auto"/>
          <w:szCs w:val="32"/>
          <w:lang w:val="en-US" w:eastAsia="zh-CN"/>
        </w:rPr>
      </w:pP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（三）</w:t>
      </w: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个性指标</w: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  <w:r>
        <w:rPr>
          <w:rFonts w:hint="eastAsia" w:eastAsia="仿宋_GB2312"/>
          <w:sz w:val="32"/>
          <w:szCs w:val="32"/>
          <w:lang w:val="en-US" w:eastAsia="zh-CN"/>
        </w:rPr>
        <w:t>一级指标4个、二级指标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  <w:lang w:val="en-US" w:eastAsia="zh-CN"/>
        </w:rPr>
        <w:t>个、三级指标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  <w:lang w:val="en-US" w:eastAsia="zh-CN"/>
        </w:rPr>
        <w:t>个绩效考核目标，</w:t>
      </w:r>
      <w:r>
        <w:rPr>
          <w:rFonts w:hint="eastAsia"/>
          <w:sz w:val="32"/>
          <w:szCs w:val="32"/>
          <w:lang w:val="en-US" w:eastAsia="zh-CN"/>
        </w:rPr>
        <w:t>年底只有一个指标未完成。</w:t>
      </w:r>
    </w:p>
    <w:p w14:paraId="63726248"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黑体" w:hAnsi="宋体" w:eastAsia="黑体"/>
          <w:color w:val="auto"/>
          <w:sz w:val="32"/>
          <w:szCs w:val="32"/>
          <w:highlight w:val="none"/>
          <w:u w:val="none"/>
        </w:rPr>
      </w:pPr>
      <w:r>
        <w:rPr>
          <w:rFonts w:hint="eastAsia" w:ascii="黑体" w:hAnsi="宋体" w:eastAsia="黑体"/>
          <w:color w:val="auto"/>
          <w:sz w:val="32"/>
          <w:szCs w:val="32"/>
          <w:highlight w:val="none"/>
          <w:u w:val="none"/>
          <w:lang w:eastAsia="zh-CN"/>
        </w:rPr>
        <w:t>四</w:t>
      </w:r>
      <w:r>
        <w:rPr>
          <w:rFonts w:hint="eastAsia" w:ascii="黑体" w:hAnsi="宋体" w:eastAsia="黑体"/>
          <w:color w:val="auto"/>
          <w:sz w:val="32"/>
          <w:szCs w:val="32"/>
          <w:highlight w:val="none"/>
          <w:u w:val="none"/>
        </w:rPr>
        <w:t>、评价结论</w:t>
      </w:r>
    </w:p>
    <w:p w14:paraId="4870FFD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 w:firstLineChars="200"/>
        <w:jc w:val="both"/>
        <w:textAlignment w:val="auto"/>
        <w:rPr>
          <w:rFonts w:hint="eastAsia" w:ascii="仿宋_GB2312" w:eastAsia="仿宋_GB2312" w:cs="仿宋_GB2312"/>
          <w:sz w:val="32"/>
          <w:szCs w:val="32"/>
          <w:highlight w:val="none"/>
          <w:lang w:val="zh-CN" w:eastAsia="zh-CN" w:bidi="ar-SA"/>
        </w:rPr>
      </w:pPr>
      <w:r>
        <w:rPr>
          <w:rFonts w:hint="eastAsia" w:ascii="仿宋_GB2312" w:eastAsia="仿宋_GB2312" w:cs="仿宋_GB2312"/>
          <w:sz w:val="32"/>
          <w:szCs w:val="32"/>
          <w:lang w:val="zh-CN" w:eastAsia="zh-CN" w:bidi="ar-SA"/>
        </w:rPr>
        <w:t>从综合评价来看，项目立项依据充分，均设定了项目绩效目标，资金配置科学合理，严格项目管理，</w:t>
      </w:r>
      <w:r>
        <w:rPr>
          <w:rFonts w:hint="eastAsia" w:ascii="仿宋_GB2312" w:eastAsia="仿宋_GB2312" w:cs="仿宋_GB2312"/>
          <w:sz w:val="32"/>
          <w:szCs w:val="32"/>
          <w:lang w:val="en-US" w:eastAsia="zh-CN" w:bidi="ar-SA"/>
        </w:rPr>
        <w:t>项目的实施达到了预期的效果</w:t>
      </w:r>
      <w:r>
        <w:rPr>
          <w:rFonts w:hint="eastAsia" w:ascii="仿宋_GB2312" w:eastAsia="仿宋_GB2312" w:cs="仿宋_GB2312"/>
          <w:sz w:val="32"/>
          <w:szCs w:val="32"/>
          <w:lang w:val="zh-CN" w:eastAsia="zh-CN" w:bidi="ar-SA"/>
        </w:rPr>
        <w:t>。整体情况良好。</w:t>
      </w:r>
    </w:p>
    <w:p w14:paraId="39D49939"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黑体" w:hAnsi="宋体" w:eastAsia="黑体" w:cs="Times New Roman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黑体" w:hAnsi="宋体" w:cs="Times New Roman"/>
          <w:color w:val="auto"/>
          <w:sz w:val="32"/>
          <w:szCs w:val="32"/>
          <w:highlight w:val="none"/>
          <w:u w:val="none"/>
          <w:lang w:eastAsia="zh-CN"/>
        </w:rPr>
        <w:t>五、</w:t>
      </w:r>
      <w:r>
        <w:rPr>
          <w:rFonts w:hint="eastAsia" w:ascii="黑体" w:hAnsi="宋体" w:eastAsia="黑体" w:cs="Times New Roman"/>
          <w:color w:val="auto"/>
          <w:sz w:val="32"/>
          <w:szCs w:val="32"/>
          <w:highlight w:val="none"/>
          <w:u w:val="none"/>
          <w:lang w:eastAsia="zh-CN"/>
        </w:rPr>
        <w:t>存在主要问题</w:t>
      </w:r>
    </w:p>
    <w:p w14:paraId="5FDAE6C5"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>支付进度过缓。</w:t>
      </w:r>
    </w:p>
    <w:p w14:paraId="613B4454"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黑体" w:hAnsi="宋体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</w:pPr>
      <w:r>
        <w:rPr>
          <w:rFonts w:hint="eastAsia" w:ascii="黑体" w:hAnsi="宋体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  <w:t>六、改进建议</w:t>
      </w:r>
    </w:p>
    <w:p w14:paraId="0AB01DD9">
      <w:pPr>
        <w:tabs>
          <w:tab w:val="left" w:pos="1911"/>
        </w:tabs>
        <w:jc w:val="left"/>
        <w:rPr>
          <w:rFonts w:hint="default" w:ascii="仿宋_GB2312" w:hAnsi="仿宋_GB2312" w:eastAsia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 xml:space="preserve"> </w:t>
      </w:r>
      <w:r>
        <w:rPr>
          <w:rFonts w:hint="eastAsia" w:ascii="仿宋_GB2312" w:hAnsi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 xml:space="preserve">  </w:t>
      </w:r>
      <w:bookmarkStart w:id="0" w:name="_Hlk110546638"/>
      <w:r>
        <w:rPr>
          <w:rFonts w:hint="eastAsia" w:ascii="仿宋_GB2312" w:hAnsi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 xml:space="preserve"> 进一步加快支付进度。</w:t>
      </w:r>
    </w:p>
    <w:bookmarkEnd w:id="0"/>
    <w:p w14:paraId="637894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640" w:firstLineChars="200"/>
        <w:textAlignment w:val="auto"/>
        <w:outlineLvl w:val="9"/>
        <w:rPr>
          <w:rFonts w:hint="eastAsia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zh-CN" w:eastAsia="zh-CN"/>
        </w:rPr>
      </w:pPr>
    </w:p>
    <w:p w14:paraId="52456F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640" w:firstLineChars="200"/>
        <w:textAlignment w:val="auto"/>
        <w:outlineLvl w:val="9"/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</w:pPr>
      <w:bookmarkStart w:id="1" w:name="_GoBack"/>
      <w:bookmarkEnd w:id="1"/>
    </w:p>
    <w:p w14:paraId="295BA0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640" w:firstLineChars="200"/>
        <w:textAlignment w:val="auto"/>
        <w:outlineLvl w:val="9"/>
        <w:rPr>
          <w:rFonts w:hint="eastAsia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zh-CN" w:eastAsia="zh-CN"/>
        </w:rPr>
      </w:pPr>
      <w:r>
        <w:rPr>
          <w:rFonts w:hint="eastAsia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zh-CN" w:eastAsia="zh-CN"/>
        </w:rPr>
        <w:br w:type="page"/>
      </w:r>
    </w:p>
    <w:p w14:paraId="562AB7BC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78" w:lineRule="exact"/>
        <w:ind w:left="0" w:leftChars="0"/>
        <w:rPr>
          <w:rFonts w:hint="default" w:ascii="黑体" w:hAnsi="黑体" w:eastAsia="黑体" w:cs="黑体"/>
          <w:sz w:val="24"/>
          <w:szCs w:val="24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华文中宋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88618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EFFF23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EFFF23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wMjBiMDE0NDAzMDYwOGJjM2NjMzIxY2I3MmFjYzYifQ=="/>
  </w:docVars>
  <w:rsids>
    <w:rsidRoot w:val="771D4D51"/>
    <w:rsid w:val="01687093"/>
    <w:rsid w:val="02247ACE"/>
    <w:rsid w:val="02FA40A3"/>
    <w:rsid w:val="03157416"/>
    <w:rsid w:val="05B807FD"/>
    <w:rsid w:val="0E9B45BF"/>
    <w:rsid w:val="13D949D7"/>
    <w:rsid w:val="14F64348"/>
    <w:rsid w:val="168129A1"/>
    <w:rsid w:val="16924BAE"/>
    <w:rsid w:val="16A22701"/>
    <w:rsid w:val="172B76E3"/>
    <w:rsid w:val="18BA663E"/>
    <w:rsid w:val="1C25106F"/>
    <w:rsid w:val="1CEE2D5A"/>
    <w:rsid w:val="1CFD8DF6"/>
    <w:rsid w:val="1D533EE8"/>
    <w:rsid w:val="1DA65123"/>
    <w:rsid w:val="1FFF9AD9"/>
    <w:rsid w:val="20880FB4"/>
    <w:rsid w:val="211214DA"/>
    <w:rsid w:val="21D544E9"/>
    <w:rsid w:val="22AD555F"/>
    <w:rsid w:val="2309269C"/>
    <w:rsid w:val="26AA3DCE"/>
    <w:rsid w:val="26CF2DB3"/>
    <w:rsid w:val="27EB6814"/>
    <w:rsid w:val="2AF86ED7"/>
    <w:rsid w:val="2AFDF212"/>
    <w:rsid w:val="2B385C88"/>
    <w:rsid w:val="2B6BF484"/>
    <w:rsid w:val="2BE24C0B"/>
    <w:rsid w:val="2CC42379"/>
    <w:rsid w:val="2E642E7C"/>
    <w:rsid w:val="2EC4391B"/>
    <w:rsid w:val="2FFF7DE7"/>
    <w:rsid w:val="31107CF0"/>
    <w:rsid w:val="32523944"/>
    <w:rsid w:val="32FF74C0"/>
    <w:rsid w:val="33F748AD"/>
    <w:rsid w:val="352944D8"/>
    <w:rsid w:val="35874596"/>
    <w:rsid w:val="35E52AF5"/>
    <w:rsid w:val="35F2A362"/>
    <w:rsid w:val="36EA2AC9"/>
    <w:rsid w:val="371A51D2"/>
    <w:rsid w:val="373BBD0C"/>
    <w:rsid w:val="379F6CD3"/>
    <w:rsid w:val="37DA41AF"/>
    <w:rsid w:val="38E057F5"/>
    <w:rsid w:val="39321EB8"/>
    <w:rsid w:val="399B085D"/>
    <w:rsid w:val="39BFEDBA"/>
    <w:rsid w:val="39DBABD8"/>
    <w:rsid w:val="3AED12ED"/>
    <w:rsid w:val="3AFF6A5D"/>
    <w:rsid w:val="3B730DDD"/>
    <w:rsid w:val="3BDD34D2"/>
    <w:rsid w:val="3BDDFF97"/>
    <w:rsid w:val="3BFFD43B"/>
    <w:rsid w:val="3C7BD5C9"/>
    <w:rsid w:val="3C9D6816"/>
    <w:rsid w:val="3E3A7756"/>
    <w:rsid w:val="3FBF9251"/>
    <w:rsid w:val="3FED766E"/>
    <w:rsid w:val="3FFEEAD9"/>
    <w:rsid w:val="3FFFE931"/>
    <w:rsid w:val="40994C08"/>
    <w:rsid w:val="4119393F"/>
    <w:rsid w:val="41B82E6B"/>
    <w:rsid w:val="457F07F2"/>
    <w:rsid w:val="4944592C"/>
    <w:rsid w:val="4A8A55C1"/>
    <w:rsid w:val="4BCE772F"/>
    <w:rsid w:val="4CC6FDBD"/>
    <w:rsid w:val="4E07F45D"/>
    <w:rsid w:val="4FF59AF5"/>
    <w:rsid w:val="503D00E8"/>
    <w:rsid w:val="50F67D27"/>
    <w:rsid w:val="51A11B6E"/>
    <w:rsid w:val="536568D4"/>
    <w:rsid w:val="5557102C"/>
    <w:rsid w:val="55937629"/>
    <w:rsid w:val="55FE10A2"/>
    <w:rsid w:val="56777341"/>
    <w:rsid w:val="56EF6619"/>
    <w:rsid w:val="57AC6393"/>
    <w:rsid w:val="57AF1E73"/>
    <w:rsid w:val="58366D88"/>
    <w:rsid w:val="593F2819"/>
    <w:rsid w:val="594A4899"/>
    <w:rsid w:val="5A7F67C4"/>
    <w:rsid w:val="5AB21C33"/>
    <w:rsid w:val="5ACF7EA7"/>
    <w:rsid w:val="5B4D241F"/>
    <w:rsid w:val="5B778EC0"/>
    <w:rsid w:val="5BFD93EC"/>
    <w:rsid w:val="5BFF0A28"/>
    <w:rsid w:val="5CBA8FF2"/>
    <w:rsid w:val="5CEF5FA1"/>
    <w:rsid w:val="5D5F7E21"/>
    <w:rsid w:val="5E1E1E61"/>
    <w:rsid w:val="5F5B35E4"/>
    <w:rsid w:val="609FA7B0"/>
    <w:rsid w:val="60D816E1"/>
    <w:rsid w:val="62856942"/>
    <w:rsid w:val="63CA3692"/>
    <w:rsid w:val="67191D4F"/>
    <w:rsid w:val="68FE744E"/>
    <w:rsid w:val="69E2696D"/>
    <w:rsid w:val="69FCE5E7"/>
    <w:rsid w:val="6B0A3E88"/>
    <w:rsid w:val="6BCDA9CC"/>
    <w:rsid w:val="6D08320B"/>
    <w:rsid w:val="6D7E290C"/>
    <w:rsid w:val="6D9F2765"/>
    <w:rsid w:val="6DB508E5"/>
    <w:rsid w:val="6DDFA6BD"/>
    <w:rsid w:val="6E767ACE"/>
    <w:rsid w:val="6E781687"/>
    <w:rsid w:val="6EC63E2A"/>
    <w:rsid w:val="6EEE3ED1"/>
    <w:rsid w:val="6EEF1D13"/>
    <w:rsid w:val="6EFFED40"/>
    <w:rsid w:val="6F1B2166"/>
    <w:rsid w:val="6F5FC1DE"/>
    <w:rsid w:val="6FA7439C"/>
    <w:rsid w:val="6FB3E1FD"/>
    <w:rsid w:val="6FD768E4"/>
    <w:rsid w:val="6FF341F1"/>
    <w:rsid w:val="6FFEBD86"/>
    <w:rsid w:val="70801449"/>
    <w:rsid w:val="71AB7A47"/>
    <w:rsid w:val="72250F35"/>
    <w:rsid w:val="734D01DF"/>
    <w:rsid w:val="73770529"/>
    <w:rsid w:val="73C03C7E"/>
    <w:rsid w:val="73FF1F09"/>
    <w:rsid w:val="73FF684B"/>
    <w:rsid w:val="74A708C5"/>
    <w:rsid w:val="750D087A"/>
    <w:rsid w:val="7662726E"/>
    <w:rsid w:val="76DFCB7D"/>
    <w:rsid w:val="771D4D51"/>
    <w:rsid w:val="7735A28E"/>
    <w:rsid w:val="77778F6D"/>
    <w:rsid w:val="77ABFD6B"/>
    <w:rsid w:val="77B7A121"/>
    <w:rsid w:val="77C748BA"/>
    <w:rsid w:val="77DD24F1"/>
    <w:rsid w:val="77F10335"/>
    <w:rsid w:val="77F7E860"/>
    <w:rsid w:val="77FB8D34"/>
    <w:rsid w:val="78A9674E"/>
    <w:rsid w:val="797D0128"/>
    <w:rsid w:val="79EDB415"/>
    <w:rsid w:val="7ABBCDAB"/>
    <w:rsid w:val="7AFCAD25"/>
    <w:rsid w:val="7AFEB9B4"/>
    <w:rsid w:val="7B5E0C37"/>
    <w:rsid w:val="7B63F034"/>
    <w:rsid w:val="7B735637"/>
    <w:rsid w:val="7B7DE504"/>
    <w:rsid w:val="7BFEC4F8"/>
    <w:rsid w:val="7C0611F5"/>
    <w:rsid w:val="7DA14F75"/>
    <w:rsid w:val="7DB57A61"/>
    <w:rsid w:val="7DC705BD"/>
    <w:rsid w:val="7DC7DC1F"/>
    <w:rsid w:val="7DF95E12"/>
    <w:rsid w:val="7DFDF40F"/>
    <w:rsid w:val="7DFF9BC7"/>
    <w:rsid w:val="7E0E3838"/>
    <w:rsid w:val="7EB22415"/>
    <w:rsid w:val="7EB645E3"/>
    <w:rsid w:val="7EB6B7AB"/>
    <w:rsid w:val="7EDEF702"/>
    <w:rsid w:val="7EFD6908"/>
    <w:rsid w:val="7EFF8787"/>
    <w:rsid w:val="7F1C270D"/>
    <w:rsid w:val="7F5B49D6"/>
    <w:rsid w:val="7F5F4807"/>
    <w:rsid w:val="7F722518"/>
    <w:rsid w:val="7F7CF90E"/>
    <w:rsid w:val="7F9E3557"/>
    <w:rsid w:val="7FBF2857"/>
    <w:rsid w:val="7FD3B1BB"/>
    <w:rsid w:val="7FE7031F"/>
    <w:rsid w:val="7FEC5D3B"/>
    <w:rsid w:val="7FEF37E2"/>
    <w:rsid w:val="7FF70813"/>
    <w:rsid w:val="7FF7B584"/>
    <w:rsid w:val="7FFDFB4B"/>
    <w:rsid w:val="7FFF1910"/>
    <w:rsid w:val="7FFF8C1D"/>
    <w:rsid w:val="7FFF92F0"/>
    <w:rsid w:val="7FFFF07C"/>
    <w:rsid w:val="9BF3195D"/>
    <w:rsid w:val="A5DB4128"/>
    <w:rsid w:val="A6E375DB"/>
    <w:rsid w:val="A6EFA809"/>
    <w:rsid w:val="A6F7CC0B"/>
    <w:rsid w:val="AABFBDFA"/>
    <w:rsid w:val="AF7DE88E"/>
    <w:rsid w:val="AFED1DC0"/>
    <w:rsid w:val="AFFBB299"/>
    <w:rsid w:val="B3ECA4C8"/>
    <w:rsid w:val="B4D7E8EA"/>
    <w:rsid w:val="B4EF3795"/>
    <w:rsid w:val="B5E79B51"/>
    <w:rsid w:val="B6E7F02A"/>
    <w:rsid w:val="B797ED78"/>
    <w:rsid w:val="BB75119C"/>
    <w:rsid w:val="BBD3B774"/>
    <w:rsid w:val="BBDF02B2"/>
    <w:rsid w:val="BCFB0575"/>
    <w:rsid w:val="BE5EC634"/>
    <w:rsid w:val="BEC77393"/>
    <w:rsid w:val="BEFECBAE"/>
    <w:rsid w:val="BF2F7DA9"/>
    <w:rsid w:val="BF7F7592"/>
    <w:rsid w:val="BFB71281"/>
    <w:rsid w:val="BFBDF2DF"/>
    <w:rsid w:val="BFE4DD88"/>
    <w:rsid w:val="BFF9117D"/>
    <w:rsid w:val="BFFF6947"/>
    <w:rsid w:val="C8FDA203"/>
    <w:rsid w:val="CEF79301"/>
    <w:rsid w:val="CEFBB93B"/>
    <w:rsid w:val="CF7C6158"/>
    <w:rsid w:val="CF9D4E98"/>
    <w:rsid w:val="CFBFEC5E"/>
    <w:rsid w:val="D65BF816"/>
    <w:rsid w:val="D73F10CF"/>
    <w:rsid w:val="D977C3BB"/>
    <w:rsid w:val="D977C9A6"/>
    <w:rsid w:val="D9FF310B"/>
    <w:rsid w:val="DBF57698"/>
    <w:rsid w:val="DBFFAB54"/>
    <w:rsid w:val="DDFF5069"/>
    <w:rsid w:val="DECF83A1"/>
    <w:rsid w:val="DEEBD176"/>
    <w:rsid w:val="DEED29CB"/>
    <w:rsid w:val="DEFF6025"/>
    <w:rsid w:val="DF4E686F"/>
    <w:rsid w:val="DF7F78BD"/>
    <w:rsid w:val="DFDFC0CD"/>
    <w:rsid w:val="DFF7F21C"/>
    <w:rsid w:val="DFFE4986"/>
    <w:rsid w:val="E3F74AB8"/>
    <w:rsid w:val="E5FD7CF6"/>
    <w:rsid w:val="E7FE6222"/>
    <w:rsid w:val="E9BB2A12"/>
    <w:rsid w:val="EDDF69E1"/>
    <w:rsid w:val="EDF76BB3"/>
    <w:rsid w:val="EEF68640"/>
    <w:rsid w:val="EFF41AC0"/>
    <w:rsid w:val="EFF76D95"/>
    <w:rsid w:val="EFFF2C87"/>
    <w:rsid w:val="EFFFA435"/>
    <w:rsid w:val="F1DF82E1"/>
    <w:rsid w:val="F1F64F55"/>
    <w:rsid w:val="F2E22473"/>
    <w:rsid w:val="F35D14F0"/>
    <w:rsid w:val="F3F4C349"/>
    <w:rsid w:val="F3F64609"/>
    <w:rsid w:val="F4E96614"/>
    <w:rsid w:val="F4F54B3B"/>
    <w:rsid w:val="F58EBBB0"/>
    <w:rsid w:val="F5CBD2AD"/>
    <w:rsid w:val="F6F3FBF3"/>
    <w:rsid w:val="F6FE0D0F"/>
    <w:rsid w:val="F9B8FDC3"/>
    <w:rsid w:val="F9BF4E89"/>
    <w:rsid w:val="FA79E738"/>
    <w:rsid w:val="FAD729CA"/>
    <w:rsid w:val="FB1B5977"/>
    <w:rsid w:val="FBF62448"/>
    <w:rsid w:val="FBF76486"/>
    <w:rsid w:val="FBFF7DC7"/>
    <w:rsid w:val="FC37AF17"/>
    <w:rsid w:val="FCDE5A6F"/>
    <w:rsid w:val="FCFE5638"/>
    <w:rsid w:val="FCFF1FE1"/>
    <w:rsid w:val="FD7C7175"/>
    <w:rsid w:val="FDD7319B"/>
    <w:rsid w:val="FDDE4FF7"/>
    <w:rsid w:val="FDF8F696"/>
    <w:rsid w:val="FE7B38A4"/>
    <w:rsid w:val="FE7EBDAF"/>
    <w:rsid w:val="FEAF5424"/>
    <w:rsid w:val="FECB8DB0"/>
    <w:rsid w:val="FECF948F"/>
    <w:rsid w:val="FEDCE487"/>
    <w:rsid w:val="FEED62B0"/>
    <w:rsid w:val="FEEFF60E"/>
    <w:rsid w:val="FEFD6F73"/>
    <w:rsid w:val="FF0F1500"/>
    <w:rsid w:val="FF5995C2"/>
    <w:rsid w:val="FF6B552C"/>
    <w:rsid w:val="FF6F74D4"/>
    <w:rsid w:val="FFBB4B28"/>
    <w:rsid w:val="FFCFE300"/>
    <w:rsid w:val="FFD58A98"/>
    <w:rsid w:val="FFDD382A"/>
    <w:rsid w:val="FFDFD60A"/>
    <w:rsid w:val="FFE6F78D"/>
    <w:rsid w:val="FFEBBD1A"/>
    <w:rsid w:val="FFEF3B9A"/>
    <w:rsid w:val="FFF171B6"/>
    <w:rsid w:val="FFF33D76"/>
    <w:rsid w:val="FFF3C5BB"/>
    <w:rsid w:val="FFFA984C"/>
    <w:rsid w:val="FFFB4651"/>
    <w:rsid w:val="FFFD90B9"/>
    <w:rsid w:val="FFFF2620"/>
    <w:rsid w:val="FFFF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Body Text"/>
    <w:basedOn w:val="1"/>
    <w:qFormat/>
    <w:uiPriority w:val="99"/>
    <w:pPr>
      <w:widowControl/>
      <w:tabs>
        <w:tab w:val="left" w:pos="2160"/>
      </w:tabs>
      <w:spacing w:line="480" w:lineRule="auto"/>
      <w:jc w:val="left"/>
    </w:pPr>
    <w:rPr>
      <w:rFonts w:ascii="楷体_GB2312" w:eastAsia="黑体"/>
      <w:kern w:val="0"/>
      <w:position w:val="3"/>
      <w:sz w:val="20"/>
      <w:szCs w:val="20"/>
      <w:lang w:eastAsia="en-US"/>
    </w:rPr>
  </w:style>
  <w:style w:type="paragraph" w:styleId="4">
    <w:name w:val="Body Text Indent"/>
    <w:basedOn w:val="1"/>
    <w:qFormat/>
    <w:uiPriority w:val="0"/>
    <w:pPr>
      <w:spacing w:after="120"/>
      <w:ind w:leftChars="200"/>
    </w:pPr>
    <w:rPr>
      <w:rFonts w:ascii="仿宋_GB231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7">
    <w:name w:val="Body Text First Indent 2"/>
    <w:basedOn w:val="4"/>
    <w:unhideWhenUsed/>
    <w:qFormat/>
    <w:uiPriority w:val="99"/>
    <w:pPr>
      <w:ind w:firstLine="420" w:firstLineChars="20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标题 5（有编号）（绿盟科技）"/>
    <w:next w:val="1"/>
    <w:qFormat/>
    <w:uiPriority w:val="99"/>
    <w:pPr>
      <w:keepNext/>
      <w:keepLines/>
      <w:widowControl w:val="0"/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2"/>
      <w:sz w:val="24"/>
      <w:szCs w:val="28"/>
      <w:lang w:val="en-US" w:eastAsia="zh-CN" w:bidi="ar-SA"/>
    </w:rPr>
  </w:style>
  <w:style w:type="paragraph" w:customStyle="1" w:styleId="12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1438</Words>
  <Characters>1505</Characters>
  <Lines>0</Lines>
  <Paragraphs>0</Paragraphs>
  <TotalTime>0</TotalTime>
  <ScaleCrop>false</ScaleCrop>
  <LinksUpToDate>false</LinksUpToDate>
  <CharactersWithSpaces>1510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2020-07-12T08:13:00Z</dcterms:created>
  <dc:creator>Administrator</dc:creator>
  <cp:lastModifiedBy>Lenovo</cp:lastModifiedBy>
  <cp:lastPrinted>2016-02-13T11:32:00Z</cp:lastPrinted>
  <dcterms:modified xsi:type="dcterms:W3CDTF">2024-09-18T03:28:55Z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FD65ACE9ECD42879F7879466AF52A2C4</vt:lpwstr>
  </property>
</Properties>
</file>